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1685" w14:textId="77777777" w:rsidR="001E3B6E" w:rsidRPr="00270FA3" w:rsidRDefault="001E3B6E" w:rsidP="001E3B6E">
      <w:pPr>
        <w:rPr>
          <w:rFonts w:ascii="Century Gothic" w:hAnsi="Century Gothic" w:cs="Arial"/>
          <w:color w:val="000000"/>
          <w:sz w:val="24"/>
          <w:szCs w:val="24"/>
          <w:lang w:val="en"/>
        </w:rPr>
      </w:pPr>
      <w:r>
        <w:rPr>
          <w:rFonts w:ascii="Century Gothic" w:hAnsi="Century Gothic" w:cs="Arial"/>
          <w:color w:val="000000"/>
          <w:sz w:val="24"/>
          <w:szCs w:val="24"/>
          <w:lang w:val="en"/>
        </w:rPr>
        <w:t xml:space="preserve">                                                    </w:t>
      </w:r>
      <w:r>
        <w:rPr>
          <w:rFonts w:ascii="Century Gothic" w:hAnsi="Century Gothic" w:cs="Arial"/>
          <w:b/>
          <w:noProof/>
          <w:sz w:val="24"/>
          <w:szCs w:val="24"/>
        </w:rPr>
        <w:drawing>
          <wp:inline distT="0" distB="0" distL="0" distR="0" wp14:anchorId="5407812D" wp14:editId="3EF38A04">
            <wp:extent cx="1257300" cy="1374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eg"/>
                    <pic:cNvPicPr/>
                  </pic:nvPicPr>
                  <pic:blipFill>
                    <a:blip r:embed="rId5"/>
                    <a:stretch>
                      <a:fillRect/>
                    </a:stretch>
                  </pic:blipFill>
                  <pic:spPr>
                    <a:xfrm>
                      <a:off x="0" y="0"/>
                      <a:ext cx="1268612" cy="1387108"/>
                    </a:xfrm>
                    <a:prstGeom prst="rect">
                      <a:avLst/>
                    </a:prstGeom>
                  </pic:spPr>
                </pic:pic>
              </a:graphicData>
            </a:graphic>
          </wp:inline>
        </w:drawing>
      </w:r>
    </w:p>
    <w:p w14:paraId="0B71B081" w14:textId="77777777" w:rsidR="001E3B6E" w:rsidRPr="00270FA3" w:rsidRDefault="001E3B6E" w:rsidP="001E3B6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Century Gothic" w:hAnsi="Century Gothic" w:cs="Arial"/>
          <w:b/>
          <w:sz w:val="24"/>
          <w:szCs w:val="24"/>
        </w:rPr>
      </w:pPr>
    </w:p>
    <w:tbl>
      <w:tblPr>
        <w:tblStyle w:val="TableGrid"/>
        <w:tblW w:w="6030" w:type="dxa"/>
        <w:tblInd w:w="-5" w:type="dxa"/>
        <w:tblLook w:val="04A0" w:firstRow="1" w:lastRow="0" w:firstColumn="1" w:lastColumn="0" w:noHBand="0" w:noVBand="1"/>
      </w:tblPr>
      <w:tblGrid>
        <w:gridCol w:w="6030"/>
      </w:tblGrid>
      <w:tr w:rsidR="001E3B6E" w:rsidRPr="00270FA3" w14:paraId="73CF1FE0" w14:textId="77777777" w:rsidTr="0008449D">
        <w:tc>
          <w:tcPr>
            <w:tcW w:w="6030" w:type="dxa"/>
          </w:tcPr>
          <w:p w14:paraId="238D0395" w14:textId="7299838E" w:rsidR="001E3B6E" w:rsidRPr="00270FA3" w:rsidRDefault="001E3B6E" w:rsidP="0008449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entury Gothic" w:hAnsi="Century Gothic" w:cs="Arial"/>
                <w:b/>
                <w:sz w:val="24"/>
                <w:szCs w:val="24"/>
              </w:rPr>
            </w:pPr>
            <w:r w:rsidRPr="00270FA3">
              <w:rPr>
                <w:rFonts w:ascii="Century Gothic" w:hAnsi="Century Gothic" w:cs="Arial"/>
                <w:b/>
                <w:sz w:val="24"/>
                <w:szCs w:val="24"/>
              </w:rPr>
              <w:t xml:space="preserve">POSITION:  </w:t>
            </w:r>
            <w:r w:rsidRPr="00270FA3">
              <w:rPr>
                <w:rFonts w:ascii="Century Gothic" w:hAnsi="Century Gothic" w:cs="Arial"/>
                <w:b/>
                <w:sz w:val="24"/>
                <w:szCs w:val="24"/>
              </w:rPr>
              <w:tab/>
            </w:r>
            <w:r w:rsidRPr="00270FA3">
              <w:rPr>
                <w:rFonts w:ascii="Century Gothic" w:hAnsi="Century Gothic" w:cs="Arial"/>
                <w:b/>
                <w:sz w:val="24"/>
                <w:szCs w:val="24"/>
              </w:rPr>
              <w:tab/>
            </w:r>
            <w:bookmarkStart w:id="0" w:name="_GoBack"/>
            <w:bookmarkEnd w:id="0"/>
            <w:r w:rsidRPr="00270FA3">
              <w:rPr>
                <w:rFonts w:ascii="Century Gothic" w:hAnsi="Century Gothic" w:cs="Arial"/>
                <w:b/>
                <w:sz w:val="24"/>
                <w:szCs w:val="24"/>
              </w:rPr>
              <w:t>Registered Nurse</w:t>
            </w:r>
          </w:p>
        </w:tc>
      </w:tr>
      <w:tr w:rsidR="001E3B6E" w:rsidRPr="00270FA3" w14:paraId="5C5E0BCA" w14:textId="77777777" w:rsidTr="0008449D">
        <w:tc>
          <w:tcPr>
            <w:tcW w:w="6030" w:type="dxa"/>
          </w:tcPr>
          <w:p w14:paraId="6C06CFC8" w14:textId="701862F7" w:rsidR="001E3B6E" w:rsidRPr="00270FA3" w:rsidRDefault="001E3B6E" w:rsidP="0008449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entury Gothic" w:hAnsi="Century Gothic" w:cs="Arial"/>
                <w:b/>
                <w:sz w:val="24"/>
                <w:szCs w:val="24"/>
              </w:rPr>
            </w:pPr>
            <w:r w:rsidRPr="00270FA3">
              <w:rPr>
                <w:rFonts w:ascii="Century Gothic" w:hAnsi="Century Gothic" w:cs="Arial"/>
                <w:b/>
                <w:sz w:val="24"/>
                <w:szCs w:val="24"/>
              </w:rPr>
              <w:t>LEVEL OF EFFORT:</w:t>
            </w:r>
            <w:r w:rsidRPr="00270FA3">
              <w:rPr>
                <w:rFonts w:ascii="Century Gothic" w:hAnsi="Century Gothic" w:cs="Arial"/>
                <w:b/>
                <w:sz w:val="24"/>
                <w:szCs w:val="24"/>
              </w:rPr>
              <w:tab/>
              <w:t>Full Time</w:t>
            </w:r>
          </w:p>
        </w:tc>
      </w:tr>
      <w:tr w:rsidR="001E3B6E" w:rsidRPr="00270FA3" w14:paraId="09943F47" w14:textId="77777777" w:rsidTr="001E3B6E">
        <w:trPr>
          <w:trHeight w:val="368"/>
        </w:trPr>
        <w:tc>
          <w:tcPr>
            <w:tcW w:w="6030" w:type="dxa"/>
          </w:tcPr>
          <w:p w14:paraId="1EF72006" w14:textId="6B4924DF" w:rsidR="001E3B6E" w:rsidRPr="00270FA3" w:rsidRDefault="001E3B6E" w:rsidP="0008449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b/>
                <w:sz w:val="24"/>
                <w:szCs w:val="24"/>
              </w:rPr>
            </w:pPr>
            <w:r w:rsidRPr="00270FA3">
              <w:rPr>
                <w:rFonts w:ascii="Century Gothic" w:hAnsi="Century Gothic" w:cs="Arial"/>
                <w:b/>
                <w:sz w:val="24"/>
                <w:szCs w:val="24"/>
              </w:rPr>
              <w:t xml:space="preserve">SUPERVISOR: </w:t>
            </w:r>
            <w:r w:rsidRPr="00270FA3">
              <w:rPr>
                <w:rFonts w:ascii="Century Gothic" w:hAnsi="Century Gothic" w:cs="Arial"/>
                <w:b/>
                <w:sz w:val="24"/>
                <w:szCs w:val="24"/>
              </w:rPr>
              <w:tab/>
              <w:t>Community Health Specialist</w:t>
            </w:r>
          </w:p>
        </w:tc>
      </w:tr>
    </w:tbl>
    <w:p w14:paraId="174C4A02" w14:textId="77777777" w:rsidR="001E3B6E" w:rsidRPr="00270FA3" w:rsidRDefault="001E3B6E" w:rsidP="001E3B6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i/>
          <w:sz w:val="24"/>
          <w:szCs w:val="24"/>
        </w:rPr>
      </w:pPr>
    </w:p>
    <w:p w14:paraId="64BFDF94" w14:textId="77777777" w:rsidR="001E3B6E" w:rsidRPr="00270FA3" w:rsidRDefault="001E3B6E" w:rsidP="001E3B6E">
      <w:pPr>
        <w:rPr>
          <w:rFonts w:ascii="Century Gothic" w:hAnsi="Century Gothic" w:cs="Arial"/>
          <w:b/>
          <w:sz w:val="24"/>
          <w:szCs w:val="24"/>
          <w:u w:val="single"/>
        </w:rPr>
      </w:pPr>
      <w:r w:rsidRPr="00270FA3">
        <w:rPr>
          <w:rFonts w:ascii="Century Gothic" w:hAnsi="Century Gothic" w:cs="Arial"/>
          <w:b/>
          <w:sz w:val="24"/>
          <w:szCs w:val="24"/>
          <w:u w:val="single"/>
        </w:rPr>
        <w:t xml:space="preserve">Roles and responsibilities: </w:t>
      </w:r>
    </w:p>
    <w:p w14:paraId="2FF11B17" w14:textId="77777777" w:rsidR="001E3B6E" w:rsidRPr="00270FA3" w:rsidRDefault="001E3B6E" w:rsidP="001E3B6E">
      <w:pPr>
        <w:pStyle w:val="ListParagraph"/>
        <w:numPr>
          <w:ilvl w:val="0"/>
          <w:numId w:val="2"/>
        </w:numPr>
        <w:rPr>
          <w:rFonts w:ascii="Century Gothic" w:hAnsi="Century Gothic" w:cs="Arial"/>
          <w:sz w:val="24"/>
          <w:szCs w:val="24"/>
        </w:rPr>
      </w:pPr>
      <w:r w:rsidRPr="00270FA3">
        <w:rPr>
          <w:rFonts w:ascii="Century Gothic" w:hAnsi="Century Gothic" w:cs="Arial"/>
          <w:sz w:val="24"/>
          <w:szCs w:val="24"/>
        </w:rPr>
        <w:t>Provision of comprehensive Sexual Reproductive Health (SRH) services at the clinic i.e. information and counseling on SRH issues, HIV Testing information (HTS), family planning services, STI treatment, pregnancy testing, ante natal care (ANC) and post-natal care, and any other services introduced by NAPPA at the clinic.</w:t>
      </w:r>
    </w:p>
    <w:p w14:paraId="4FA91187" w14:textId="77777777" w:rsidR="001E3B6E" w:rsidRPr="00270FA3" w:rsidRDefault="001E3B6E" w:rsidP="001E3B6E">
      <w:pPr>
        <w:pStyle w:val="ListParagraph"/>
        <w:numPr>
          <w:ilvl w:val="0"/>
          <w:numId w:val="2"/>
        </w:numPr>
        <w:rPr>
          <w:rFonts w:ascii="Century Gothic" w:hAnsi="Century Gothic" w:cs="Arial"/>
          <w:sz w:val="24"/>
          <w:szCs w:val="24"/>
        </w:rPr>
      </w:pPr>
      <w:r w:rsidRPr="00270FA3">
        <w:rPr>
          <w:rFonts w:ascii="Century Gothic" w:hAnsi="Century Gothic" w:cs="Arial"/>
          <w:sz w:val="24"/>
          <w:szCs w:val="24"/>
        </w:rPr>
        <w:t>Management of special cases, such as providing comprehensive SRH services to, amongst others, sexual minorities and key populations.</w:t>
      </w:r>
    </w:p>
    <w:p w14:paraId="24124F85" w14:textId="77777777" w:rsidR="001E3B6E" w:rsidRPr="00270FA3" w:rsidRDefault="001E3B6E" w:rsidP="001E3B6E">
      <w:pPr>
        <w:pStyle w:val="ListParagraph"/>
        <w:numPr>
          <w:ilvl w:val="0"/>
          <w:numId w:val="2"/>
        </w:numPr>
        <w:rPr>
          <w:rFonts w:ascii="Century Gothic" w:hAnsi="Century Gothic" w:cs="Arial"/>
          <w:sz w:val="24"/>
          <w:szCs w:val="24"/>
        </w:rPr>
      </w:pPr>
      <w:r w:rsidRPr="00270FA3">
        <w:rPr>
          <w:rFonts w:ascii="Century Gothic" w:hAnsi="Century Gothic" w:cs="Arial"/>
          <w:sz w:val="24"/>
          <w:szCs w:val="24"/>
        </w:rPr>
        <w:t>Initiate, plan, budget control, implementation, monitoring and evaluation of clinic activities</w:t>
      </w:r>
    </w:p>
    <w:p w14:paraId="6D81753C" w14:textId="77777777" w:rsidR="001E3B6E" w:rsidRPr="00270FA3" w:rsidRDefault="001E3B6E" w:rsidP="001E3B6E">
      <w:pPr>
        <w:pStyle w:val="ListParagraph"/>
        <w:numPr>
          <w:ilvl w:val="0"/>
          <w:numId w:val="2"/>
        </w:numPr>
        <w:rPr>
          <w:rFonts w:ascii="Century Gothic" w:hAnsi="Century Gothic" w:cs="Arial"/>
          <w:sz w:val="24"/>
          <w:szCs w:val="24"/>
        </w:rPr>
      </w:pPr>
      <w:r w:rsidRPr="00270FA3">
        <w:rPr>
          <w:rFonts w:ascii="Century Gothic" w:hAnsi="Century Gothic" w:cs="Arial"/>
          <w:sz w:val="24"/>
          <w:szCs w:val="24"/>
        </w:rPr>
        <w:t>Maintain quality of care (QOC) standards at the clinic</w:t>
      </w:r>
    </w:p>
    <w:p w14:paraId="1A7B696C" w14:textId="77777777" w:rsidR="001E3B6E" w:rsidRPr="00270FA3" w:rsidRDefault="001E3B6E" w:rsidP="001E3B6E">
      <w:pPr>
        <w:pStyle w:val="ListParagraph"/>
        <w:numPr>
          <w:ilvl w:val="0"/>
          <w:numId w:val="2"/>
        </w:numPr>
        <w:rPr>
          <w:rFonts w:ascii="Century Gothic" w:hAnsi="Century Gothic" w:cs="Arial"/>
          <w:sz w:val="24"/>
          <w:szCs w:val="24"/>
        </w:rPr>
      </w:pPr>
      <w:r w:rsidRPr="00270FA3">
        <w:rPr>
          <w:rFonts w:ascii="Century Gothic" w:hAnsi="Century Gothic" w:cs="Arial"/>
          <w:sz w:val="24"/>
          <w:szCs w:val="24"/>
        </w:rPr>
        <w:t>Conduct community sensitization and mobilization activities, including outreach services</w:t>
      </w:r>
    </w:p>
    <w:p w14:paraId="0B8819FF" w14:textId="77777777" w:rsidR="001E3B6E" w:rsidRPr="00270FA3" w:rsidRDefault="001E3B6E" w:rsidP="001E3B6E">
      <w:pPr>
        <w:pStyle w:val="ListParagraph"/>
        <w:numPr>
          <w:ilvl w:val="0"/>
          <w:numId w:val="2"/>
        </w:numPr>
        <w:rPr>
          <w:rFonts w:ascii="Century Gothic" w:hAnsi="Century Gothic" w:cs="Arial"/>
          <w:sz w:val="24"/>
          <w:szCs w:val="24"/>
        </w:rPr>
      </w:pPr>
      <w:r w:rsidRPr="00270FA3">
        <w:rPr>
          <w:rFonts w:ascii="Century Gothic" w:hAnsi="Century Gothic" w:cs="Arial"/>
          <w:sz w:val="24"/>
          <w:szCs w:val="24"/>
        </w:rPr>
        <w:t>Support community development initiatives.</w:t>
      </w:r>
    </w:p>
    <w:p w14:paraId="7F5A033B" w14:textId="77777777" w:rsidR="001E3B6E" w:rsidRPr="00270FA3" w:rsidRDefault="001E3B6E" w:rsidP="001E3B6E">
      <w:pPr>
        <w:pStyle w:val="ListParagraph"/>
        <w:numPr>
          <w:ilvl w:val="0"/>
          <w:numId w:val="2"/>
        </w:numPr>
        <w:rPr>
          <w:rFonts w:ascii="Century Gothic" w:hAnsi="Century Gothic" w:cs="Arial"/>
          <w:sz w:val="24"/>
          <w:szCs w:val="24"/>
        </w:rPr>
      </w:pPr>
      <w:r w:rsidRPr="00270FA3">
        <w:rPr>
          <w:rFonts w:ascii="Century Gothic" w:hAnsi="Century Gothic" w:cs="Arial"/>
          <w:sz w:val="24"/>
          <w:szCs w:val="24"/>
        </w:rPr>
        <w:t>Advocate on the services that the clinic and Association provides and supports</w:t>
      </w:r>
    </w:p>
    <w:p w14:paraId="3B3AE618" w14:textId="77777777" w:rsidR="001E3B6E" w:rsidRPr="00270FA3" w:rsidRDefault="001E3B6E" w:rsidP="001E3B6E">
      <w:pPr>
        <w:pStyle w:val="ListParagraph"/>
        <w:numPr>
          <w:ilvl w:val="0"/>
          <w:numId w:val="2"/>
        </w:numPr>
        <w:rPr>
          <w:rFonts w:ascii="Century Gothic" w:hAnsi="Century Gothic" w:cs="Arial"/>
          <w:sz w:val="24"/>
          <w:szCs w:val="24"/>
        </w:rPr>
      </w:pPr>
      <w:r w:rsidRPr="00270FA3">
        <w:rPr>
          <w:rFonts w:ascii="Century Gothic" w:hAnsi="Century Gothic" w:cs="Arial"/>
          <w:sz w:val="24"/>
          <w:szCs w:val="24"/>
        </w:rPr>
        <w:t>Daily management of the NAPPA youth friendly sexual and reproductive health services clinic.</w:t>
      </w:r>
    </w:p>
    <w:p w14:paraId="5D9A03B4" w14:textId="77777777" w:rsidR="001E3B6E" w:rsidRPr="00270FA3" w:rsidRDefault="001E3B6E" w:rsidP="001E3B6E">
      <w:pPr>
        <w:pStyle w:val="ListParagraph"/>
        <w:numPr>
          <w:ilvl w:val="0"/>
          <w:numId w:val="2"/>
        </w:numPr>
        <w:rPr>
          <w:rFonts w:ascii="Century Gothic" w:hAnsi="Century Gothic" w:cs="Arial"/>
          <w:sz w:val="24"/>
          <w:szCs w:val="24"/>
        </w:rPr>
      </w:pPr>
      <w:r w:rsidRPr="00270FA3">
        <w:rPr>
          <w:rFonts w:ascii="Century Gothic" w:hAnsi="Century Gothic" w:cs="Arial"/>
          <w:sz w:val="24"/>
          <w:szCs w:val="24"/>
        </w:rPr>
        <w:t xml:space="preserve">Provide HIV clinical care and ART to eligible patients </w:t>
      </w:r>
    </w:p>
    <w:p w14:paraId="788CFA30" w14:textId="77777777" w:rsidR="001E3B6E" w:rsidRPr="00270FA3" w:rsidRDefault="001E3B6E" w:rsidP="001E3B6E">
      <w:pPr>
        <w:pStyle w:val="ListParagraph"/>
        <w:numPr>
          <w:ilvl w:val="0"/>
          <w:numId w:val="2"/>
        </w:numPr>
        <w:rPr>
          <w:rFonts w:ascii="Century Gothic" w:hAnsi="Century Gothic" w:cs="Arial"/>
          <w:sz w:val="24"/>
          <w:szCs w:val="24"/>
        </w:rPr>
      </w:pPr>
      <w:r w:rsidRPr="00270FA3">
        <w:rPr>
          <w:rFonts w:ascii="Century Gothic" w:hAnsi="Century Gothic" w:cs="Arial"/>
          <w:sz w:val="24"/>
          <w:szCs w:val="24"/>
        </w:rPr>
        <w:t xml:space="preserve">Provide PHDP including STIs, pap smear, disclosure and adherence support services. </w:t>
      </w:r>
    </w:p>
    <w:p w14:paraId="5366EF8F" w14:textId="77777777" w:rsidR="001E3B6E" w:rsidRPr="00270FA3" w:rsidRDefault="001E3B6E" w:rsidP="001E3B6E">
      <w:pPr>
        <w:pStyle w:val="ListParagraph"/>
        <w:numPr>
          <w:ilvl w:val="0"/>
          <w:numId w:val="2"/>
        </w:numPr>
        <w:rPr>
          <w:rFonts w:ascii="Century Gothic" w:hAnsi="Century Gothic" w:cs="Arial"/>
          <w:sz w:val="24"/>
          <w:szCs w:val="24"/>
        </w:rPr>
      </w:pPr>
      <w:r w:rsidRPr="00270FA3">
        <w:rPr>
          <w:rFonts w:ascii="Century Gothic" w:hAnsi="Century Gothic" w:cs="Arial"/>
          <w:sz w:val="24"/>
          <w:szCs w:val="24"/>
        </w:rPr>
        <w:lastRenderedPageBreak/>
        <w:t>Provide follow up care for treatment outcomes. At each follow up visit, evaluate patients for opportunistic diseases, medicinal side effects and adherence on ART, as well as eligibility for initiating ART when it is not yet started.</w:t>
      </w:r>
    </w:p>
    <w:p w14:paraId="2F011EFC" w14:textId="77777777" w:rsidR="001E3B6E" w:rsidRPr="00270FA3" w:rsidRDefault="001E3B6E" w:rsidP="001E3B6E">
      <w:pPr>
        <w:pStyle w:val="ListParagraph"/>
        <w:numPr>
          <w:ilvl w:val="0"/>
          <w:numId w:val="2"/>
        </w:numPr>
        <w:rPr>
          <w:rFonts w:ascii="Century Gothic" w:hAnsi="Century Gothic" w:cs="Arial"/>
          <w:sz w:val="24"/>
          <w:szCs w:val="24"/>
        </w:rPr>
      </w:pPr>
      <w:r w:rsidRPr="00270FA3">
        <w:rPr>
          <w:rFonts w:ascii="Century Gothic" w:hAnsi="Century Gothic" w:cs="Arial"/>
          <w:sz w:val="24"/>
          <w:szCs w:val="24"/>
        </w:rPr>
        <w:t xml:space="preserve">Provide </w:t>
      </w:r>
      <w:proofErr w:type="spellStart"/>
      <w:r w:rsidRPr="00270FA3">
        <w:rPr>
          <w:rFonts w:ascii="Century Gothic" w:hAnsi="Century Gothic" w:cs="Arial"/>
          <w:sz w:val="24"/>
          <w:szCs w:val="24"/>
        </w:rPr>
        <w:t>PrEP</w:t>
      </w:r>
      <w:proofErr w:type="spellEnd"/>
      <w:r w:rsidRPr="00270FA3">
        <w:rPr>
          <w:rFonts w:ascii="Century Gothic" w:hAnsi="Century Gothic" w:cs="Arial"/>
          <w:sz w:val="24"/>
          <w:szCs w:val="24"/>
        </w:rPr>
        <w:t xml:space="preserve">/PEP to those eligible. </w:t>
      </w:r>
    </w:p>
    <w:p w14:paraId="590E81D0" w14:textId="77777777" w:rsidR="001E3B6E" w:rsidRPr="00270FA3" w:rsidRDefault="001E3B6E" w:rsidP="001E3B6E">
      <w:pPr>
        <w:pStyle w:val="ListParagraph"/>
        <w:numPr>
          <w:ilvl w:val="0"/>
          <w:numId w:val="2"/>
        </w:numPr>
        <w:rPr>
          <w:rFonts w:ascii="Century Gothic" w:hAnsi="Century Gothic" w:cs="Arial"/>
          <w:sz w:val="24"/>
          <w:szCs w:val="24"/>
        </w:rPr>
      </w:pPr>
      <w:r w:rsidRPr="00270FA3">
        <w:rPr>
          <w:rFonts w:ascii="Century Gothic" w:hAnsi="Century Gothic" w:cs="Arial"/>
          <w:sz w:val="24"/>
          <w:szCs w:val="24"/>
        </w:rPr>
        <w:t>Maintain medical records and files in an orderly, accurate and professional manner.</w:t>
      </w:r>
    </w:p>
    <w:p w14:paraId="1C96E15B" w14:textId="77777777" w:rsidR="001E3B6E" w:rsidRPr="00270FA3" w:rsidRDefault="001E3B6E" w:rsidP="001E3B6E">
      <w:pPr>
        <w:pStyle w:val="ListParagraph"/>
        <w:numPr>
          <w:ilvl w:val="0"/>
          <w:numId w:val="2"/>
        </w:numPr>
        <w:rPr>
          <w:rFonts w:ascii="Century Gothic" w:hAnsi="Century Gothic" w:cs="Arial"/>
          <w:sz w:val="24"/>
          <w:szCs w:val="24"/>
        </w:rPr>
      </w:pPr>
      <w:r w:rsidRPr="00270FA3">
        <w:rPr>
          <w:rFonts w:ascii="Century Gothic" w:hAnsi="Century Gothic" w:cs="Arial"/>
          <w:sz w:val="24"/>
          <w:szCs w:val="24"/>
        </w:rPr>
        <w:t xml:space="preserve">Request appropriate laboratory and clinical investigations, interpret results and provide medical care. </w:t>
      </w:r>
    </w:p>
    <w:p w14:paraId="63501CE6" w14:textId="77777777" w:rsidR="001E3B6E" w:rsidRPr="00270FA3" w:rsidRDefault="001E3B6E" w:rsidP="001E3B6E">
      <w:pPr>
        <w:pStyle w:val="ListParagraph"/>
        <w:numPr>
          <w:ilvl w:val="0"/>
          <w:numId w:val="2"/>
        </w:numPr>
        <w:rPr>
          <w:rFonts w:ascii="Century Gothic" w:hAnsi="Century Gothic" w:cs="Arial"/>
          <w:sz w:val="24"/>
          <w:szCs w:val="24"/>
        </w:rPr>
      </w:pPr>
      <w:r w:rsidRPr="00270FA3">
        <w:rPr>
          <w:rFonts w:ascii="Century Gothic" w:hAnsi="Century Gothic" w:cs="Arial"/>
          <w:sz w:val="24"/>
          <w:szCs w:val="24"/>
        </w:rPr>
        <w:t xml:space="preserve">Participate in data review and quality improvement processes. </w:t>
      </w:r>
    </w:p>
    <w:p w14:paraId="13719047" w14:textId="77777777" w:rsidR="001E3B6E" w:rsidRPr="00270FA3" w:rsidRDefault="001E3B6E" w:rsidP="001E3B6E">
      <w:pPr>
        <w:pStyle w:val="ListParagraph"/>
        <w:numPr>
          <w:ilvl w:val="0"/>
          <w:numId w:val="2"/>
        </w:numPr>
        <w:rPr>
          <w:rFonts w:ascii="Century Gothic" w:hAnsi="Century Gothic" w:cs="Arial"/>
          <w:sz w:val="24"/>
          <w:szCs w:val="24"/>
        </w:rPr>
      </w:pPr>
      <w:r w:rsidRPr="00270FA3">
        <w:rPr>
          <w:rFonts w:ascii="Century Gothic" w:hAnsi="Century Gothic" w:cs="Arial"/>
          <w:sz w:val="24"/>
          <w:szCs w:val="24"/>
        </w:rPr>
        <w:t xml:space="preserve">Participate in multi-disciplinary meetings. </w:t>
      </w:r>
    </w:p>
    <w:p w14:paraId="06B8BCC7" w14:textId="77777777" w:rsidR="001E3B6E" w:rsidRPr="00270FA3" w:rsidRDefault="001E3B6E" w:rsidP="001E3B6E">
      <w:pPr>
        <w:pStyle w:val="ListParagraph"/>
        <w:numPr>
          <w:ilvl w:val="0"/>
          <w:numId w:val="2"/>
        </w:numPr>
        <w:rPr>
          <w:rFonts w:ascii="Century Gothic" w:hAnsi="Century Gothic" w:cs="Arial"/>
          <w:sz w:val="24"/>
          <w:szCs w:val="24"/>
        </w:rPr>
      </w:pPr>
      <w:r w:rsidRPr="00270FA3">
        <w:rPr>
          <w:rFonts w:ascii="Century Gothic" w:hAnsi="Century Gothic" w:cs="Arial"/>
          <w:sz w:val="24"/>
          <w:szCs w:val="24"/>
        </w:rPr>
        <w:t xml:space="preserve">Participate in relevant operational research. </w:t>
      </w:r>
    </w:p>
    <w:p w14:paraId="782ECE9E" w14:textId="77777777" w:rsidR="001E3B6E" w:rsidRPr="00270FA3" w:rsidRDefault="001E3B6E" w:rsidP="001E3B6E">
      <w:pPr>
        <w:pStyle w:val="ListParagraph"/>
        <w:numPr>
          <w:ilvl w:val="0"/>
          <w:numId w:val="2"/>
        </w:numPr>
        <w:rPr>
          <w:rFonts w:ascii="Century Gothic" w:hAnsi="Century Gothic" w:cs="Arial"/>
          <w:sz w:val="24"/>
          <w:szCs w:val="24"/>
        </w:rPr>
      </w:pPr>
      <w:r w:rsidRPr="00270FA3">
        <w:rPr>
          <w:rFonts w:ascii="Century Gothic" w:hAnsi="Century Gothic" w:cs="Arial"/>
          <w:sz w:val="24"/>
          <w:szCs w:val="24"/>
        </w:rPr>
        <w:t>Any other duties as assigned by the supervisor.</w:t>
      </w:r>
    </w:p>
    <w:p w14:paraId="36B989AC" w14:textId="77777777" w:rsidR="001E3B6E" w:rsidRPr="00270FA3" w:rsidRDefault="001E3B6E" w:rsidP="001E3B6E">
      <w:pPr>
        <w:shd w:val="clear" w:color="auto" w:fill="FFFFFF"/>
        <w:spacing w:before="100" w:beforeAutospacing="1" w:after="100" w:afterAutospacing="1" w:line="312" w:lineRule="atLeast"/>
        <w:rPr>
          <w:rFonts w:ascii="Century Gothic" w:hAnsi="Century Gothic" w:cs="Arial"/>
          <w:b/>
          <w:color w:val="000000"/>
          <w:sz w:val="24"/>
          <w:szCs w:val="24"/>
          <w:u w:val="single"/>
        </w:rPr>
      </w:pPr>
      <w:r w:rsidRPr="00270FA3">
        <w:rPr>
          <w:rFonts w:ascii="Century Gothic" w:hAnsi="Century Gothic" w:cs="Arial"/>
          <w:b/>
          <w:color w:val="000000"/>
          <w:sz w:val="24"/>
          <w:szCs w:val="24"/>
          <w:u w:val="single"/>
        </w:rPr>
        <w:t>Skills and Experiences</w:t>
      </w:r>
    </w:p>
    <w:p w14:paraId="06E35225" w14:textId="77777777" w:rsidR="001E3B6E" w:rsidRPr="00270FA3" w:rsidRDefault="001E3B6E" w:rsidP="001E3B6E">
      <w:pPr>
        <w:pStyle w:val="ListParagraph"/>
        <w:numPr>
          <w:ilvl w:val="0"/>
          <w:numId w:val="1"/>
        </w:numPr>
        <w:rPr>
          <w:rFonts w:ascii="Century Gothic" w:hAnsi="Century Gothic" w:cs="Arial"/>
          <w:sz w:val="24"/>
          <w:szCs w:val="24"/>
        </w:rPr>
      </w:pPr>
      <w:r w:rsidRPr="00270FA3">
        <w:rPr>
          <w:rFonts w:ascii="Century Gothic" w:hAnsi="Century Gothic" w:cs="Arial"/>
          <w:sz w:val="24"/>
          <w:szCs w:val="24"/>
        </w:rPr>
        <w:t>Should be a holder of diploma/ Degree in Nursing.</w:t>
      </w:r>
    </w:p>
    <w:p w14:paraId="59D313EE" w14:textId="77777777" w:rsidR="001E3B6E" w:rsidRPr="00270FA3" w:rsidRDefault="001E3B6E" w:rsidP="001E3B6E">
      <w:pPr>
        <w:pStyle w:val="ListParagraph"/>
        <w:numPr>
          <w:ilvl w:val="0"/>
          <w:numId w:val="1"/>
        </w:numPr>
        <w:rPr>
          <w:rFonts w:ascii="Century Gothic" w:hAnsi="Century Gothic" w:cs="Arial"/>
          <w:sz w:val="24"/>
          <w:szCs w:val="24"/>
        </w:rPr>
      </w:pPr>
      <w:r w:rsidRPr="00270FA3">
        <w:rPr>
          <w:rFonts w:ascii="Century Gothic" w:hAnsi="Century Gothic" w:cs="Arial"/>
          <w:sz w:val="24"/>
          <w:szCs w:val="24"/>
        </w:rPr>
        <w:t>At least three years working experience in Sexual Reproductive Health Services, HIV/AIDS field, experience of working with key populations will be an added advantage.</w:t>
      </w:r>
    </w:p>
    <w:p w14:paraId="11B07E09" w14:textId="77777777" w:rsidR="001E3B6E" w:rsidRPr="00270FA3" w:rsidRDefault="001E3B6E" w:rsidP="001E3B6E">
      <w:pPr>
        <w:pStyle w:val="ListParagraph"/>
        <w:numPr>
          <w:ilvl w:val="0"/>
          <w:numId w:val="1"/>
        </w:numPr>
        <w:rPr>
          <w:rFonts w:ascii="Century Gothic" w:hAnsi="Century Gothic" w:cs="Arial"/>
          <w:sz w:val="24"/>
          <w:szCs w:val="24"/>
        </w:rPr>
      </w:pPr>
      <w:r w:rsidRPr="00270FA3">
        <w:rPr>
          <w:rFonts w:ascii="Century Gothic" w:hAnsi="Century Gothic" w:cs="Arial"/>
          <w:sz w:val="24"/>
          <w:szCs w:val="24"/>
        </w:rPr>
        <w:t>Sound knowledge of working in the NGO sector</w:t>
      </w:r>
    </w:p>
    <w:p w14:paraId="3ADFDA50" w14:textId="77777777" w:rsidR="001E3B6E" w:rsidRPr="00270FA3" w:rsidRDefault="001E3B6E" w:rsidP="001E3B6E">
      <w:pPr>
        <w:pStyle w:val="ListParagraph"/>
        <w:numPr>
          <w:ilvl w:val="0"/>
          <w:numId w:val="1"/>
        </w:numPr>
        <w:rPr>
          <w:rFonts w:ascii="Century Gothic" w:hAnsi="Century Gothic" w:cs="Arial"/>
          <w:sz w:val="24"/>
          <w:szCs w:val="24"/>
        </w:rPr>
      </w:pPr>
      <w:r w:rsidRPr="00270FA3">
        <w:rPr>
          <w:rFonts w:ascii="Century Gothic" w:hAnsi="Century Gothic" w:cs="Arial"/>
          <w:sz w:val="24"/>
          <w:szCs w:val="24"/>
        </w:rPr>
        <w:t>Commitment to PEPFAR values and principles</w:t>
      </w:r>
    </w:p>
    <w:p w14:paraId="38C70DFF" w14:textId="77777777" w:rsidR="001E3B6E" w:rsidRPr="00270FA3" w:rsidRDefault="001E3B6E" w:rsidP="001E3B6E">
      <w:pPr>
        <w:pStyle w:val="ListParagraph"/>
        <w:numPr>
          <w:ilvl w:val="0"/>
          <w:numId w:val="1"/>
        </w:numPr>
        <w:rPr>
          <w:rFonts w:ascii="Century Gothic" w:hAnsi="Century Gothic" w:cs="Arial"/>
          <w:sz w:val="24"/>
          <w:szCs w:val="24"/>
        </w:rPr>
      </w:pPr>
      <w:r w:rsidRPr="00270FA3">
        <w:rPr>
          <w:rFonts w:ascii="Century Gothic" w:hAnsi="Century Gothic" w:cs="Arial"/>
          <w:sz w:val="24"/>
          <w:szCs w:val="24"/>
        </w:rPr>
        <w:t>Excellent interpersonal, analytical and presentation skills</w:t>
      </w:r>
    </w:p>
    <w:p w14:paraId="4770CECC" w14:textId="77777777" w:rsidR="001E3B6E" w:rsidRPr="00270FA3" w:rsidRDefault="001E3B6E" w:rsidP="001E3B6E">
      <w:pPr>
        <w:pStyle w:val="ListParagraph"/>
        <w:numPr>
          <w:ilvl w:val="0"/>
          <w:numId w:val="1"/>
        </w:numPr>
        <w:rPr>
          <w:rFonts w:ascii="Century Gothic" w:hAnsi="Century Gothic" w:cs="Arial"/>
          <w:sz w:val="24"/>
          <w:szCs w:val="24"/>
        </w:rPr>
      </w:pPr>
      <w:r w:rsidRPr="00270FA3">
        <w:rPr>
          <w:rFonts w:ascii="Century Gothic" w:hAnsi="Century Gothic" w:cs="Arial"/>
          <w:sz w:val="24"/>
          <w:szCs w:val="24"/>
        </w:rPr>
        <w:t>Registered with the Nursing board of Namibia.</w:t>
      </w:r>
    </w:p>
    <w:p w14:paraId="4DBA35CF" w14:textId="77777777" w:rsidR="001E3B6E" w:rsidRPr="00270FA3" w:rsidRDefault="001E3B6E" w:rsidP="001E3B6E">
      <w:pPr>
        <w:pStyle w:val="ListParagraph"/>
        <w:numPr>
          <w:ilvl w:val="0"/>
          <w:numId w:val="1"/>
        </w:numPr>
        <w:rPr>
          <w:rFonts w:ascii="Century Gothic" w:hAnsi="Century Gothic" w:cs="Arial"/>
          <w:sz w:val="24"/>
          <w:szCs w:val="24"/>
        </w:rPr>
      </w:pPr>
      <w:r w:rsidRPr="00270FA3">
        <w:rPr>
          <w:rFonts w:ascii="Century Gothic" w:hAnsi="Century Gothic" w:cs="Arial"/>
          <w:sz w:val="24"/>
          <w:szCs w:val="24"/>
        </w:rPr>
        <w:t>Certified as a Rapid Tester</w:t>
      </w:r>
    </w:p>
    <w:p w14:paraId="7BAF2DE6" w14:textId="77777777" w:rsidR="001E3B6E" w:rsidRPr="00270FA3" w:rsidRDefault="001E3B6E" w:rsidP="001E3B6E">
      <w:pPr>
        <w:pStyle w:val="ListParagraph"/>
        <w:numPr>
          <w:ilvl w:val="0"/>
          <w:numId w:val="1"/>
        </w:numPr>
        <w:rPr>
          <w:rFonts w:ascii="Century Gothic" w:hAnsi="Century Gothic" w:cs="Arial"/>
          <w:sz w:val="24"/>
          <w:szCs w:val="24"/>
        </w:rPr>
      </w:pPr>
      <w:r w:rsidRPr="00270FA3">
        <w:rPr>
          <w:rFonts w:ascii="Century Gothic" w:hAnsi="Century Gothic" w:cs="Arial"/>
          <w:sz w:val="24"/>
          <w:szCs w:val="24"/>
        </w:rPr>
        <w:t>Trained as NIMART Nurse will be an added advantage</w:t>
      </w:r>
    </w:p>
    <w:p w14:paraId="0A80B962" w14:textId="77777777" w:rsidR="001E3B6E" w:rsidRPr="00270FA3" w:rsidRDefault="001E3B6E" w:rsidP="001E3B6E">
      <w:pPr>
        <w:pStyle w:val="ListParagraph"/>
        <w:numPr>
          <w:ilvl w:val="0"/>
          <w:numId w:val="1"/>
        </w:numPr>
        <w:rPr>
          <w:rFonts w:ascii="Century Gothic" w:hAnsi="Century Gothic" w:cs="Arial"/>
          <w:sz w:val="24"/>
          <w:szCs w:val="24"/>
        </w:rPr>
      </w:pPr>
      <w:r w:rsidRPr="00270FA3">
        <w:rPr>
          <w:rFonts w:ascii="Century Gothic" w:hAnsi="Century Gothic" w:cs="Arial"/>
          <w:sz w:val="24"/>
          <w:szCs w:val="24"/>
        </w:rPr>
        <w:t>Members from the priority population are encouraged to apply.</w:t>
      </w:r>
    </w:p>
    <w:p w14:paraId="07549C94" w14:textId="77777777" w:rsidR="001E3B6E" w:rsidRDefault="001E3B6E" w:rsidP="001E3B6E">
      <w:pPr>
        <w:shd w:val="clear" w:color="auto" w:fill="FFFFFF"/>
        <w:spacing w:before="100" w:beforeAutospacing="1" w:after="100" w:afterAutospacing="1" w:line="240" w:lineRule="auto"/>
        <w:jc w:val="both"/>
        <w:rPr>
          <w:rFonts w:ascii="Century Gothic" w:hAnsi="Century Gothic" w:cs="Arial"/>
          <w:b/>
          <w:color w:val="000000"/>
          <w:sz w:val="24"/>
          <w:szCs w:val="24"/>
          <w:lang w:val="en"/>
        </w:rPr>
      </w:pPr>
    </w:p>
    <w:p w14:paraId="24BD2CEA" w14:textId="77777777" w:rsidR="001845E5" w:rsidRDefault="001E3B6E"/>
    <w:sectPr w:rsidR="00184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2D5"/>
    <w:multiLevelType w:val="hybridMultilevel"/>
    <w:tmpl w:val="E0D4A68A"/>
    <w:lvl w:ilvl="0" w:tplc="04090001">
      <w:start w:val="1"/>
      <w:numFmt w:val="bullet"/>
      <w:lvlText w:val=""/>
      <w:lvlJc w:val="left"/>
      <w:pPr>
        <w:ind w:left="720" w:hanging="360"/>
      </w:pPr>
      <w:rPr>
        <w:rFonts w:ascii="Symbol" w:hAnsi="Symbol" w:hint="default"/>
      </w:rPr>
    </w:lvl>
    <w:lvl w:ilvl="1" w:tplc="E3DC331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92DAB"/>
    <w:multiLevelType w:val="hybridMultilevel"/>
    <w:tmpl w:val="544E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6E"/>
    <w:rsid w:val="001D6CFE"/>
    <w:rsid w:val="001E3B6E"/>
    <w:rsid w:val="009C206F"/>
    <w:rsid w:val="00A17793"/>
    <w:rsid w:val="00D6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64E8"/>
  <w15:chartTrackingRefBased/>
  <w15:docId w15:val="{B96497AF-5E1B-413A-875B-73956A37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B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B6E"/>
    <w:pPr>
      <w:ind w:left="720"/>
      <w:contextualSpacing/>
    </w:pPr>
  </w:style>
  <w:style w:type="table" w:styleId="TableGrid">
    <w:name w:val="Table Grid"/>
    <w:basedOn w:val="TableNormal"/>
    <w:uiPriority w:val="59"/>
    <w:rsid w:val="001E3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3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2019-05-15T07:15:00Z</dcterms:created>
  <dcterms:modified xsi:type="dcterms:W3CDTF">2019-05-15T07:17:00Z</dcterms:modified>
</cp:coreProperties>
</file>